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75" w:rsidRPr="007A2175" w:rsidRDefault="007A2175" w:rsidP="007A2175">
      <w:pPr>
        <w:spacing w:before="100" w:beforeAutospacing="1" w:after="100" w:afterAutospacing="1" w:line="240" w:lineRule="auto"/>
        <w:outlineLvl w:val="3"/>
        <w:rPr>
          <w:rFonts w:ascii="Arial" w:eastAsia="Times New Roman" w:hAnsi="Arial" w:cs="Arial"/>
          <w:b/>
          <w:color w:val="000000"/>
          <w:sz w:val="24"/>
          <w:u w:val="single"/>
        </w:rPr>
      </w:pPr>
      <w:r w:rsidRPr="007A2175">
        <w:rPr>
          <w:rFonts w:ascii="Arial" w:eastAsia="Times New Roman" w:hAnsi="Arial" w:cs="Arial"/>
          <w:b/>
          <w:color w:val="000000"/>
          <w:sz w:val="24"/>
          <w:u w:val="single"/>
        </w:rPr>
        <w:t>City of Vineland IN-1 Zoning</w:t>
      </w:r>
    </w:p>
    <w:p w:rsidR="007A2175" w:rsidRPr="007A2175" w:rsidRDefault="007A2175" w:rsidP="007A2175">
      <w:pPr>
        <w:spacing w:before="100" w:beforeAutospacing="1" w:after="100" w:afterAutospacing="1" w:line="240" w:lineRule="auto"/>
        <w:outlineLvl w:val="3"/>
        <w:rPr>
          <w:rFonts w:ascii="Arial" w:eastAsia="Times New Roman" w:hAnsi="Arial" w:cs="Arial"/>
          <w:b/>
          <w:bCs/>
          <w:color w:val="000000"/>
          <w:sz w:val="24"/>
        </w:rPr>
      </w:pPr>
      <w:r w:rsidRPr="007A2175">
        <w:rPr>
          <w:rFonts w:ascii="Arial" w:eastAsia="Times New Roman" w:hAnsi="Arial" w:cs="Arial"/>
          <w:color w:val="000000"/>
          <w:sz w:val="24"/>
        </w:rPr>
        <w:t xml:space="preserve">§ 425-298. </w:t>
      </w:r>
      <w:proofErr w:type="gramStart"/>
      <w:r w:rsidRPr="007A2175">
        <w:rPr>
          <w:rFonts w:ascii="Arial" w:eastAsia="Times New Roman" w:hAnsi="Arial" w:cs="Arial"/>
          <w:color w:val="000000"/>
          <w:sz w:val="24"/>
        </w:rPr>
        <w:t>IN-1 Institutional Zone standards.</w:t>
      </w:r>
      <w:proofErr w:type="gramEnd"/>
      <w:r w:rsidRPr="007A2175">
        <w:rPr>
          <w:rFonts w:ascii="Arial" w:eastAsia="Times New Roman" w:hAnsi="Arial" w:cs="Arial"/>
          <w:color w:val="000000"/>
          <w:sz w:val="24"/>
        </w:rPr>
        <w:t xml:space="preserve"> </w:t>
      </w:r>
    </w:p>
    <w:p w:rsidR="007A2175" w:rsidRPr="007A2175" w:rsidRDefault="007A2175" w:rsidP="007A2175">
      <w:pPr>
        <w:spacing w:after="0" w:line="240" w:lineRule="auto"/>
        <w:rPr>
          <w:rFonts w:ascii="Arial" w:eastAsia="Times New Roman" w:hAnsi="Arial" w:cs="Arial"/>
          <w:color w:val="000000"/>
          <w:sz w:val="24"/>
        </w:rPr>
      </w:pPr>
      <w:r w:rsidRPr="007A2175">
        <w:rPr>
          <w:rFonts w:ascii="Arial" w:eastAsia="Times New Roman" w:hAnsi="Arial" w:cs="Arial"/>
          <w:b/>
          <w:bCs/>
          <w:color w:val="000000"/>
          <w:sz w:val="24"/>
        </w:rPr>
        <w:t>[Added 7-24-2001 by Ord. No. 2001-48]</w:t>
      </w:r>
    </w:p>
    <w:p w:rsidR="007A2175" w:rsidRPr="007A2175" w:rsidRDefault="007A2175" w:rsidP="007A2175">
      <w:pPr>
        <w:spacing w:after="0" w:line="240" w:lineRule="auto"/>
        <w:ind w:hanging="312"/>
        <w:rPr>
          <w:rFonts w:ascii="Arial" w:eastAsia="Times New Roman" w:hAnsi="Arial" w:cs="Arial"/>
          <w:color w:val="000000"/>
          <w:sz w:val="24"/>
        </w:rPr>
      </w:pPr>
      <w:r w:rsidRPr="007A2175">
        <w:rPr>
          <w:rFonts w:ascii="Arial" w:eastAsia="Times New Roman" w:hAnsi="Arial" w:cs="Arial"/>
          <w:color w:val="000000"/>
          <w:sz w:val="24"/>
        </w:rPr>
        <w:t xml:space="preserve">A. Purpose. It is the purpose of this zone to encourage development of a regional medical/educational/cultural center. It is important that zone requirements and design standards not be sacrificed to allow overdevelopment or improper utilization of properties, as this would negatively impact upon the character of this area and upon the desired symbiotic relationship between uses. Strict adherence to design standards is deemed very important because this zone contributes significantly to the City's image because of its high visibility. </w:t>
      </w:r>
    </w:p>
    <w:p w:rsidR="007A2175" w:rsidRPr="007A2175" w:rsidRDefault="007A2175" w:rsidP="007A2175">
      <w:pPr>
        <w:spacing w:after="0" w:line="240" w:lineRule="auto"/>
        <w:ind w:hanging="312"/>
        <w:rPr>
          <w:rFonts w:ascii="Arial" w:eastAsia="Times New Roman" w:hAnsi="Arial" w:cs="Arial"/>
          <w:color w:val="000000"/>
          <w:sz w:val="24"/>
        </w:rPr>
      </w:pPr>
      <w:r w:rsidRPr="007A2175">
        <w:rPr>
          <w:rFonts w:ascii="Arial" w:eastAsia="Times New Roman" w:hAnsi="Arial" w:cs="Arial"/>
          <w:color w:val="000000"/>
          <w:sz w:val="24"/>
        </w:rPr>
        <w:t xml:space="preserve">B. Permitted uses. Permitted uses in the IN-1 Institutional Zone shall be as follows: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 Hospital.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(2) Rehabilitation hospital.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(3) Ambulatory care facility.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(4) Diagnostic facility.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(5) Therapeutic/rehabilitation facility.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(6) Long-term care facility.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(7) Assisted-living residence.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(8) Residential treatment center.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(9) Substance abuse counseling or treatment center.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(10) Adult day health-care facility.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(11) Emergency medical service facility.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(12) College/university.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(13) Business or professional office.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(14) Bank.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(15) Restaurant (as defined in Chapter </w:t>
      </w:r>
      <w:r w:rsidRPr="007A2175">
        <w:rPr>
          <w:rFonts w:ascii="Arial" w:eastAsia="Times New Roman" w:hAnsi="Arial" w:cs="Arial"/>
          <w:b/>
          <w:bCs/>
          <w:color w:val="000000"/>
          <w:sz w:val="24"/>
        </w:rPr>
        <w:t>216</w:t>
      </w:r>
      <w:r w:rsidRPr="007A2175">
        <w:rPr>
          <w:rFonts w:ascii="Arial" w:eastAsia="Times New Roman" w:hAnsi="Arial" w:cs="Arial"/>
          <w:color w:val="000000"/>
          <w:sz w:val="24"/>
        </w:rPr>
        <w:t xml:space="preserve">, Alcoholic Beverages, of the Code of the City of Vineland).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(16) Indoor theater.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(17) Passenger terminal facility, taxi or bus stop.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(18) Vocational training facility (nonindustrial).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(19) Senior day-care facility.</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b/>
          <w:bCs/>
          <w:color w:val="000000"/>
          <w:sz w:val="24"/>
        </w:rPr>
        <w:t>[Added 4-10-2007 by Ord. No. 2007-26; amended 6-24-2008 by Ord. No. 2008-39]</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(20) Public purpose uses:</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b/>
          <w:bCs/>
          <w:color w:val="000000"/>
          <w:sz w:val="24"/>
        </w:rPr>
        <w:t>[Amended 4-10-2007 by Ord. No. 2007-26; 6-24-2008 by Ord. No. 2008-39]</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(a) Child-care center.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(b) Governmental or public utility facility, with the exception of an electrical generating facility.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(c) Governmental or public utility office. </w:t>
      </w:r>
    </w:p>
    <w:p w:rsidR="007A2175" w:rsidRPr="007A2175" w:rsidRDefault="007A2175" w:rsidP="007A2175">
      <w:pPr>
        <w:spacing w:after="0" w:line="240" w:lineRule="auto"/>
        <w:ind w:hanging="312"/>
        <w:rPr>
          <w:rFonts w:ascii="Arial" w:eastAsia="Times New Roman" w:hAnsi="Arial" w:cs="Arial"/>
          <w:color w:val="000000"/>
          <w:sz w:val="24"/>
        </w:rPr>
      </w:pPr>
      <w:r w:rsidRPr="007A2175">
        <w:rPr>
          <w:rFonts w:ascii="Arial" w:eastAsia="Times New Roman" w:hAnsi="Arial" w:cs="Arial"/>
          <w:color w:val="000000"/>
          <w:sz w:val="24"/>
        </w:rPr>
        <w:t xml:space="preserve">C. Accessory uses. Accessory uses in the IN-1 Institutional Zone shall be as follows: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 All accessory uses permitted in the B-1 Zone.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(2) Emergency electrical-generation equipment. </w:t>
      </w:r>
    </w:p>
    <w:p w:rsidR="007A2175" w:rsidRPr="007A2175" w:rsidRDefault="007A2175" w:rsidP="007A2175">
      <w:pPr>
        <w:spacing w:after="0" w:line="240" w:lineRule="auto"/>
        <w:ind w:hanging="312"/>
        <w:rPr>
          <w:rFonts w:ascii="Arial" w:eastAsia="Times New Roman" w:hAnsi="Arial" w:cs="Arial"/>
          <w:color w:val="000000"/>
          <w:sz w:val="24"/>
        </w:rPr>
      </w:pPr>
      <w:r w:rsidRPr="007A2175">
        <w:rPr>
          <w:rFonts w:ascii="Arial" w:eastAsia="Times New Roman" w:hAnsi="Arial" w:cs="Arial"/>
          <w:color w:val="000000"/>
          <w:sz w:val="24"/>
        </w:rPr>
        <w:t xml:space="preserve">D. Conditional uses. Conditional uses in the IN-1 Institutional Zone shall be as follows: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 Recreational facility. </w:t>
      </w:r>
    </w:p>
    <w:p w:rsidR="007A2175" w:rsidRPr="007A2175" w:rsidRDefault="007A2175" w:rsidP="007A2175">
      <w:pPr>
        <w:spacing w:after="0"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(2) Heliport, </w:t>
      </w:r>
      <w:proofErr w:type="spellStart"/>
      <w:r w:rsidRPr="007A2175">
        <w:rPr>
          <w:rFonts w:ascii="Arial" w:eastAsia="Times New Roman" w:hAnsi="Arial" w:cs="Arial"/>
          <w:color w:val="000000"/>
          <w:sz w:val="24"/>
        </w:rPr>
        <w:t>helistop</w:t>
      </w:r>
      <w:proofErr w:type="spellEnd"/>
      <w:r w:rsidRPr="007A2175">
        <w:rPr>
          <w:rFonts w:ascii="Arial" w:eastAsia="Times New Roman" w:hAnsi="Arial" w:cs="Arial"/>
          <w:color w:val="000000"/>
          <w:sz w:val="24"/>
        </w:rPr>
        <w:t xml:space="preserve">, helipad. </w:t>
      </w:r>
    </w:p>
    <w:p w:rsidR="007A2175" w:rsidRPr="007A2175" w:rsidRDefault="007A2175" w:rsidP="007A2175">
      <w:pPr>
        <w:spacing w:after="0" w:line="240" w:lineRule="auto"/>
        <w:ind w:hanging="312"/>
        <w:rPr>
          <w:rFonts w:ascii="Arial" w:eastAsia="Times New Roman" w:hAnsi="Arial" w:cs="Arial"/>
          <w:color w:val="000000"/>
          <w:sz w:val="24"/>
        </w:rPr>
      </w:pPr>
      <w:r w:rsidRPr="007A2175">
        <w:rPr>
          <w:rFonts w:ascii="Arial" w:eastAsia="Times New Roman" w:hAnsi="Arial" w:cs="Arial"/>
          <w:color w:val="000000"/>
          <w:sz w:val="24"/>
        </w:rPr>
        <w:t xml:space="preserve">E. Prohibited uses. Prohibited uses in the IN-1 Institutional Zone shall be as follows: </w:t>
      </w:r>
    </w:p>
    <w:p w:rsidR="007A2175" w:rsidRPr="007A2175" w:rsidRDefault="007A2175" w:rsidP="007A2175">
      <w:pPr>
        <w:spacing w:line="240" w:lineRule="auto"/>
        <w:ind w:hanging="384"/>
        <w:rPr>
          <w:rFonts w:ascii="Arial" w:eastAsia="Times New Roman" w:hAnsi="Arial" w:cs="Arial"/>
          <w:color w:val="000000"/>
          <w:sz w:val="24"/>
        </w:rPr>
      </w:pPr>
      <w:r w:rsidRPr="007A2175">
        <w:rPr>
          <w:rFonts w:ascii="Arial" w:eastAsia="Times New Roman" w:hAnsi="Arial" w:cs="Arial"/>
          <w:color w:val="000000"/>
          <w:sz w:val="24"/>
        </w:rPr>
        <w:t xml:space="preserve">(1) Electrical-generation facility. </w:t>
      </w:r>
    </w:p>
    <w:p w:rsidR="001436B7" w:rsidRDefault="001436B7"/>
    <w:sectPr w:rsidR="001436B7" w:rsidSect="007A2175">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175"/>
    <w:rsid w:val="00047BE0"/>
    <w:rsid w:val="001436B7"/>
    <w:rsid w:val="00345813"/>
    <w:rsid w:val="007A2175"/>
    <w:rsid w:val="008C1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BB"/>
  </w:style>
  <w:style w:type="paragraph" w:styleId="Heading1">
    <w:name w:val="heading 1"/>
    <w:basedOn w:val="Normal"/>
    <w:next w:val="Normal"/>
    <w:link w:val="Heading1Char"/>
    <w:uiPriority w:val="9"/>
    <w:qFormat/>
    <w:rsid w:val="008C17BB"/>
    <w:pPr>
      <w:keepNext/>
      <w:keepLines/>
      <w:spacing w:before="480" w:after="0"/>
      <w:outlineLvl w:val="0"/>
    </w:pPr>
    <w:rPr>
      <w:rFonts w:asciiTheme="majorHAnsi" w:eastAsiaTheme="majorEastAsia" w:hAnsiTheme="majorHAnsi"/>
      <w:b/>
      <w:bCs/>
      <w:color w:val="365F91" w:themeColor="accent1" w:themeShade="BF"/>
      <w:szCs w:val="28"/>
    </w:rPr>
  </w:style>
  <w:style w:type="paragraph" w:styleId="Heading4">
    <w:name w:val="heading 4"/>
    <w:basedOn w:val="Normal"/>
    <w:link w:val="Heading4Char"/>
    <w:uiPriority w:val="9"/>
    <w:qFormat/>
    <w:rsid w:val="007A2175"/>
    <w:pPr>
      <w:spacing w:before="100" w:beforeAutospacing="1" w:after="100" w:afterAutospacing="1" w:line="240" w:lineRule="auto"/>
      <w:outlineLvl w:val="3"/>
    </w:pPr>
    <w:rPr>
      <w:rFonts w:eastAsia="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7B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17BB"/>
    <w:pPr>
      <w:spacing w:after="0" w:line="240" w:lineRule="auto"/>
    </w:pPr>
  </w:style>
  <w:style w:type="character" w:customStyle="1" w:styleId="Heading4Char">
    <w:name w:val="Heading 4 Char"/>
    <w:basedOn w:val="DefaultParagraphFont"/>
    <w:link w:val="Heading4"/>
    <w:uiPriority w:val="9"/>
    <w:rsid w:val="007A2175"/>
    <w:rPr>
      <w:rFonts w:eastAsia="Times New Roman" w:cs="Times New Roman"/>
      <w:b/>
      <w:bCs/>
      <w:sz w:val="24"/>
    </w:rPr>
  </w:style>
  <w:style w:type="character" w:customStyle="1" w:styleId="titlelink3">
    <w:name w:val="titlelink3"/>
    <w:basedOn w:val="DefaultParagraphFont"/>
    <w:rsid w:val="007A2175"/>
    <w:rPr>
      <w:b w:val="0"/>
      <w:bCs w:val="0"/>
      <w:strike w:val="0"/>
      <w:dstrike w:val="0"/>
      <w:color w:val="000000"/>
      <w:u w:val="none"/>
      <w:effect w:val="none"/>
    </w:rPr>
  </w:style>
  <w:style w:type="character" w:customStyle="1" w:styleId="xref3">
    <w:name w:val="xref3"/>
    <w:basedOn w:val="DefaultParagraphFont"/>
    <w:rsid w:val="007A2175"/>
    <w:rPr>
      <w:b/>
      <w:bCs/>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2114206541">
      <w:bodyDiv w:val="1"/>
      <w:marLeft w:val="720"/>
      <w:marRight w:val="720"/>
      <w:marTop w:val="0"/>
      <w:marBottom w:val="720"/>
      <w:divBdr>
        <w:top w:val="none" w:sz="0" w:space="0" w:color="auto"/>
        <w:left w:val="none" w:sz="0" w:space="0" w:color="auto"/>
        <w:bottom w:val="none" w:sz="0" w:space="0" w:color="auto"/>
        <w:right w:val="none" w:sz="0" w:space="0" w:color="auto"/>
      </w:divBdr>
      <w:divsChild>
        <w:div w:id="866525123">
          <w:marLeft w:val="0"/>
          <w:marRight w:val="0"/>
          <w:marTop w:val="0"/>
          <w:marBottom w:val="0"/>
          <w:divBdr>
            <w:top w:val="none" w:sz="0" w:space="0" w:color="auto"/>
            <w:left w:val="none" w:sz="0" w:space="0" w:color="auto"/>
            <w:bottom w:val="none" w:sz="0" w:space="0" w:color="auto"/>
            <w:right w:val="none" w:sz="0" w:space="0" w:color="auto"/>
          </w:divBdr>
          <w:divsChild>
            <w:div w:id="1096751871">
              <w:marLeft w:val="0"/>
              <w:marRight w:val="0"/>
              <w:marTop w:val="0"/>
              <w:marBottom w:val="0"/>
              <w:divBdr>
                <w:top w:val="none" w:sz="0" w:space="0" w:color="auto"/>
                <w:left w:val="none" w:sz="0" w:space="0" w:color="auto"/>
                <w:bottom w:val="none" w:sz="0" w:space="0" w:color="auto"/>
                <w:right w:val="none" w:sz="0" w:space="0" w:color="auto"/>
              </w:divBdr>
              <w:divsChild>
                <w:div w:id="515929188">
                  <w:marLeft w:val="0"/>
                  <w:marRight w:val="0"/>
                  <w:marTop w:val="0"/>
                  <w:marBottom w:val="0"/>
                  <w:divBdr>
                    <w:top w:val="none" w:sz="0" w:space="0" w:color="auto"/>
                    <w:left w:val="none" w:sz="0" w:space="0" w:color="auto"/>
                    <w:bottom w:val="none" w:sz="0" w:space="0" w:color="auto"/>
                    <w:right w:val="none" w:sz="0" w:space="0" w:color="auto"/>
                  </w:divBdr>
                  <w:divsChild>
                    <w:div w:id="1240754601">
                      <w:marLeft w:val="0"/>
                      <w:marRight w:val="0"/>
                      <w:marTop w:val="0"/>
                      <w:marBottom w:val="0"/>
                      <w:divBdr>
                        <w:top w:val="none" w:sz="0" w:space="0" w:color="auto"/>
                        <w:left w:val="none" w:sz="0" w:space="0" w:color="auto"/>
                        <w:bottom w:val="none" w:sz="0" w:space="0" w:color="auto"/>
                        <w:right w:val="none" w:sz="0" w:space="0" w:color="auto"/>
                      </w:divBdr>
                      <w:divsChild>
                        <w:div w:id="725420835">
                          <w:marLeft w:val="0"/>
                          <w:marRight w:val="0"/>
                          <w:marTop w:val="0"/>
                          <w:marBottom w:val="0"/>
                          <w:divBdr>
                            <w:top w:val="none" w:sz="0" w:space="0" w:color="auto"/>
                            <w:left w:val="none" w:sz="0" w:space="0" w:color="auto"/>
                            <w:bottom w:val="none" w:sz="0" w:space="0" w:color="auto"/>
                            <w:right w:val="none" w:sz="0" w:space="0" w:color="auto"/>
                          </w:divBdr>
                        </w:div>
                        <w:div w:id="1310020095">
                          <w:marLeft w:val="240"/>
                          <w:marRight w:val="0"/>
                          <w:marTop w:val="240"/>
                          <w:marBottom w:val="0"/>
                          <w:divBdr>
                            <w:top w:val="none" w:sz="0" w:space="0" w:color="auto"/>
                            <w:left w:val="none" w:sz="0" w:space="0" w:color="auto"/>
                            <w:bottom w:val="none" w:sz="0" w:space="0" w:color="auto"/>
                            <w:right w:val="none" w:sz="0" w:space="0" w:color="auto"/>
                          </w:divBdr>
                        </w:div>
                        <w:div w:id="917441022">
                          <w:marLeft w:val="240"/>
                          <w:marRight w:val="0"/>
                          <w:marTop w:val="240"/>
                          <w:marBottom w:val="0"/>
                          <w:divBdr>
                            <w:top w:val="none" w:sz="0" w:space="0" w:color="auto"/>
                            <w:left w:val="none" w:sz="0" w:space="0" w:color="auto"/>
                            <w:bottom w:val="none" w:sz="0" w:space="0" w:color="auto"/>
                            <w:right w:val="none" w:sz="0" w:space="0" w:color="auto"/>
                          </w:divBdr>
                        </w:div>
                        <w:div w:id="1322001272">
                          <w:marLeft w:val="480"/>
                          <w:marRight w:val="0"/>
                          <w:marTop w:val="240"/>
                          <w:marBottom w:val="0"/>
                          <w:divBdr>
                            <w:top w:val="none" w:sz="0" w:space="0" w:color="auto"/>
                            <w:left w:val="none" w:sz="0" w:space="0" w:color="auto"/>
                            <w:bottom w:val="none" w:sz="0" w:space="0" w:color="auto"/>
                            <w:right w:val="none" w:sz="0" w:space="0" w:color="auto"/>
                          </w:divBdr>
                        </w:div>
                        <w:div w:id="1384404408">
                          <w:marLeft w:val="480"/>
                          <w:marRight w:val="0"/>
                          <w:marTop w:val="240"/>
                          <w:marBottom w:val="0"/>
                          <w:divBdr>
                            <w:top w:val="none" w:sz="0" w:space="0" w:color="auto"/>
                            <w:left w:val="none" w:sz="0" w:space="0" w:color="auto"/>
                            <w:bottom w:val="none" w:sz="0" w:space="0" w:color="auto"/>
                            <w:right w:val="none" w:sz="0" w:space="0" w:color="auto"/>
                          </w:divBdr>
                        </w:div>
                        <w:div w:id="227306407">
                          <w:marLeft w:val="480"/>
                          <w:marRight w:val="0"/>
                          <w:marTop w:val="240"/>
                          <w:marBottom w:val="0"/>
                          <w:divBdr>
                            <w:top w:val="none" w:sz="0" w:space="0" w:color="auto"/>
                            <w:left w:val="none" w:sz="0" w:space="0" w:color="auto"/>
                            <w:bottom w:val="none" w:sz="0" w:space="0" w:color="auto"/>
                            <w:right w:val="none" w:sz="0" w:space="0" w:color="auto"/>
                          </w:divBdr>
                        </w:div>
                        <w:div w:id="36589262">
                          <w:marLeft w:val="480"/>
                          <w:marRight w:val="0"/>
                          <w:marTop w:val="240"/>
                          <w:marBottom w:val="0"/>
                          <w:divBdr>
                            <w:top w:val="none" w:sz="0" w:space="0" w:color="auto"/>
                            <w:left w:val="none" w:sz="0" w:space="0" w:color="auto"/>
                            <w:bottom w:val="none" w:sz="0" w:space="0" w:color="auto"/>
                            <w:right w:val="none" w:sz="0" w:space="0" w:color="auto"/>
                          </w:divBdr>
                        </w:div>
                        <w:div w:id="1433010722">
                          <w:marLeft w:val="480"/>
                          <w:marRight w:val="0"/>
                          <w:marTop w:val="240"/>
                          <w:marBottom w:val="0"/>
                          <w:divBdr>
                            <w:top w:val="none" w:sz="0" w:space="0" w:color="auto"/>
                            <w:left w:val="none" w:sz="0" w:space="0" w:color="auto"/>
                            <w:bottom w:val="none" w:sz="0" w:space="0" w:color="auto"/>
                            <w:right w:val="none" w:sz="0" w:space="0" w:color="auto"/>
                          </w:divBdr>
                        </w:div>
                        <w:div w:id="1799294773">
                          <w:marLeft w:val="480"/>
                          <w:marRight w:val="0"/>
                          <w:marTop w:val="240"/>
                          <w:marBottom w:val="0"/>
                          <w:divBdr>
                            <w:top w:val="none" w:sz="0" w:space="0" w:color="auto"/>
                            <w:left w:val="none" w:sz="0" w:space="0" w:color="auto"/>
                            <w:bottom w:val="none" w:sz="0" w:space="0" w:color="auto"/>
                            <w:right w:val="none" w:sz="0" w:space="0" w:color="auto"/>
                          </w:divBdr>
                        </w:div>
                        <w:div w:id="1962370644">
                          <w:marLeft w:val="480"/>
                          <w:marRight w:val="0"/>
                          <w:marTop w:val="240"/>
                          <w:marBottom w:val="0"/>
                          <w:divBdr>
                            <w:top w:val="none" w:sz="0" w:space="0" w:color="auto"/>
                            <w:left w:val="none" w:sz="0" w:space="0" w:color="auto"/>
                            <w:bottom w:val="none" w:sz="0" w:space="0" w:color="auto"/>
                            <w:right w:val="none" w:sz="0" w:space="0" w:color="auto"/>
                          </w:divBdr>
                        </w:div>
                        <w:div w:id="1049185866">
                          <w:marLeft w:val="480"/>
                          <w:marRight w:val="0"/>
                          <w:marTop w:val="240"/>
                          <w:marBottom w:val="0"/>
                          <w:divBdr>
                            <w:top w:val="none" w:sz="0" w:space="0" w:color="auto"/>
                            <w:left w:val="none" w:sz="0" w:space="0" w:color="auto"/>
                            <w:bottom w:val="none" w:sz="0" w:space="0" w:color="auto"/>
                            <w:right w:val="none" w:sz="0" w:space="0" w:color="auto"/>
                          </w:divBdr>
                        </w:div>
                        <w:div w:id="512688420">
                          <w:marLeft w:val="480"/>
                          <w:marRight w:val="0"/>
                          <w:marTop w:val="240"/>
                          <w:marBottom w:val="0"/>
                          <w:divBdr>
                            <w:top w:val="none" w:sz="0" w:space="0" w:color="auto"/>
                            <w:left w:val="none" w:sz="0" w:space="0" w:color="auto"/>
                            <w:bottom w:val="none" w:sz="0" w:space="0" w:color="auto"/>
                            <w:right w:val="none" w:sz="0" w:space="0" w:color="auto"/>
                          </w:divBdr>
                        </w:div>
                        <w:div w:id="1293290903">
                          <w:marLeft w:val="480"/>
                          <w:marRight w:val="0"/>
                          <w:marTop w:val="240"/>
                          <w:marBottom w:val="0"/>
                          <w:divBdr>
                            <w:top w:val="none" w:sz="0" w:space="0" w:color="auto"/>
                            <w:left w:val="none" w:sz="0" w:space="0" w:color="auto"/>
                            <w:bottom w:val="none" w:sz="0" w:space="0" w:color="auto"/>
                            <w:right w:val="none" w:sz="0" w:space="0" w:color="auto"/>
                          </w:divBdr>
                        </w:div>
                        <w:div w:id="1785267530">
                          <w:marLeft w:val="480"/>
                          <w:marRight w:val="0"/>
                          <w:marTop w:val="240"/>
                          <w:marBottom w:val="0"/>
                          <w:divBdr>
                            <w:top w:val="none" w:sz="0" w:space="0" w:color="auto"/>
                            <w:left w:val="none" w:sz="0" w:space="0" w:color="auto"/>
                            <w:bottom w:val="none" w:sz="0" w:space="0" w:color="auto"/>
                            <w:right w:val="none" w:sz="0" w:space="0" w:color="auto"/>
                          </w:divBdr>
                        </w:div>
                        <w:div w:id="1877085384">
                          <w:marLeft w:val="480"/>
                          <w:marRight w:val="0"/>
                          <w:marTop w:val="240"/>
                          <w:marBottom w:val="0"/>
                          <w:divBdr>
                            <w:top w:val="none" w:sz="0" w:space="0" w:color="auto"/>
                            <w:left w:val="none" w:sz="0" w:space="0" w:color="auto"/>
                            <w:bottom w:val="none" w:sz="0" w:space="0" w:color="auto"/>
                            <w:right w:val="none" w:sz="0" w:space="0" w:color="auto"/>
                          </w:divBdr>
                        </w:div>
                        <w:div w:id="1397436704">
                          <w:marLeft w:val="480"/>
                          <w:marRight w:val="0"/>
                          <w:marTop w:val="240"/>
                          <w:marBottom w:val="0"/>
                          <w:divBdr>
                            <w:top w:val="none" w:sz="0" w:space="0" w:color="auto"/>
                            <w:left w:val="none" w:sz="0" w:space="0" w:color="auto"/>
                            <w:bottom w:val="none" w:sz="0" w:space="0" w:color="auto"/>
                            <w:right w:val="none" w:sz="0" w:space="0" w:color="auto"/>
                          </w:divBdr>
                        </w:div>
                        <w:div w:id="713188828">
                          <w:marLeft w:val="480"/>
                          <w:marRight w:val="0"/>
                          <w:marTop w:val="240"/>
                          <w:marBottom w:val="0"/>
                          <w:divBdr>
                            <w:top w:val="none" w:sz="0" w:space="0" w:color="auto"/>
                            <w:left w:val="none" w:sz="0" w:space="0" w:color="auto"/>
                            <w:bottom w:val="none" w:sz="0" w:space="0" w:color="auto"/>
                            <w:right w:val="none" w:sz="0" w:space="0" w:color="auto"/>
                          </w:divBdr>
                        </w:div>
                        <w:div w:id="1245142623">
                          <w:marLeft w:val="480"/>
                          <w:marRight w:val="0"/>
                          <w:marTop w:val="240"/>
                          <w:marBottom w:val="0"/>
                          <w:divBdr>
                            <w:top w:val="none" w:sz="0" w:space="0" w:color="auto"/>
                            <w:left w:val="none" w:sz="0" w:space="0" w:color="auto"/>
                            <w:bottom w:val="none" w:sz="0" w:space="0" w:color="auto"/>
                            <w:right w:val="none" w:sz="0" w:space="0" w:color="auto"/>
                          </w:divBdr>
                        </w:div>
                        <w:div w:id="2030833826">
                          <w:marLeft w:val="480"/>
                          <w:marRight w:val="0"/>
                          <w:marTop w:val="240"/>
                          <w:marBottom w:val="0"/>
                          <w:divBdr>
                            <w:top w:val="none" w:sz="0" w:space="0" w:color="auto"/>
                            <w:left w:val="none" w:sz="0" w:space="0" w:color="auto"/>
                            <w:bottom w:val="none" w:sz="0" w:space="0" w:color="auto"/>
                            <w:right w:val="none" w:sz="0" w:space="0" w:color="auto"/>
                          </w:divBdr>
                        </w:div>
                        <w:div w:id="363555979">
                          <w:marLeft w:val="480"/>
                          <w:marRight w:val="0"/>
                          <w:marTop w:val="240"/>
                          <w:marBottom w:val="0"/>
                          <w:divBdr>
                            <w:top w:val="none" w:sz="0" w:space="0" w:color="auto"/>
                            <w:left w:val="none" w:sz="0" w:space="0" w:color="auto"/>
                            <w:bottom w:val="none" w:sz="0" w:space="0" w:color="auto"/>
                            <w:right w:val="none" w:sz="0" w:space="0" w:color="auto"/>
                          </w:divBdr>
                        </w:div>
                        <w:div w:id="647242471">
                          <w:marLeft w:val="480"/>
                          <w:marRight w:val="0"/>
                          <w:marTop w:val="240"/>
                          <w:marBottom w:val="0"/>
                          <w:divBdr>
                            <w:top w:val="none" w:sz="0" w:space="0" w:color="auto"/>
                            <w:left w:val="none" w:sz="0" w:space="0" w:color="auto"/>
                            <w:bottom w:val="none" w:sz="0" w:space="0" w:color="auto"/>
                            <w:right w:val="none" w:sz="0" w:space="0" w:color="auto"/>
                          </w:divBdr>
                        </w:div>
                        <w:div w:id="2095934568">
                          <w:marLeft w:val="480"/>
                          <w:marRight w:val="0"/>
                          <w:marTop w:val="240"/>
                          <w:marBottom w:val="0"/>
                          <w:divBdr>
                            <w:top w:val="none" w:sz="0" w:space="0" w:color="auto"/>
                            <w:left w:val="none" w:sz="0" w:space="0" w:color="auto"/>
                            <w:bottom w:val="none" w:sz="0" w:space="0" w:color="auto"/>
                            <w:right w:val="none" w:sz="0" w:space="0" w:color="auto"/>
                          </w:divBdr>
                          <w:divsChild>
                            <w:div w:id="180167432">
                              <w:marLeft w:val="480"/>
                              <w:marRight w:val="0"/>
                              <w:marTop w:val="0"/>
                              <w:marBottom w:val="0"/>
                              <w:divBdr>
                                <w:top w:val="none" w:sz="0" w:space="0" w:color="auto"/>
                                <w:left w:val="none" w:sz="0" w:space="0" w:color="auto"/>
                                <w:bottom w:val="none" w:sz="0" w:space="0" w:color="auto"/>
                                <w:right w:val="none" w:sz="0" w:space="0" w:color="auto"/>
                              </w:divBdr>
                            </w:div>
                          </w:divsChild>
                        </w:div>
                        <w:div w:id="1110276637">
                          <w:marLeft w:val="480"/>
                          <w:marRight w:val="0"/>
                          <w:marTop w:val="240"/>
                          <w:marBottom w:val="0"/>
                          <w:divBdr>
                            <w:top w:val="none" w:sz="0" w:space="0" w:color="auto"/>
                            <w:left w:val="none" w:sz="0" w:space="0" w:color="auto"/>
                            <w:bottom w:val="none" w:sz="0" w:space="0" w:color="auto"/>
                            <w:right w:val="none" w:sz="0" w:space="0" w:color="auto"/>
                          </w:divBdr>
                          <w:divsChild>
                            <w:div w:id="2114281140">
                              <w:marLeft w:val="480"/>
                              <w:marRight w:val="0"/>
                              <w:marTop w:val="0"/>
                              <w:marBottom w:val="0"/>
                              <w:divBdr>
                                <w:top w:val="none" w:sz="0" w:space="0" w:color="auto"/>
                                <w:left w:val="none" w:sz="0" w:space="0" w:color="auto"/>
                                <w:bottom w:val="none" w:sz="0" w:space="0" w:color="auto"/>
                                <w:right w:val="none" w:sz="0" w:space="0" w:color="auto"/>
                              </w:divBdr>
                            </w:div>
                          </w:divsChild>
                        </w:div>
                        <w:div w:id="1264149930">
                          <w:marLeft w:val="720"/>
                          <w:marRight w:val="0"/>
                          <w:marTop w:val="240"/>
                          <w:marBottom w:val="0"/>
                          <w:divBdr>
                            <w:top w:val="none" w:sz="0" w:space="0" w:color="auto"/>
                            <w:left w:val="none" w:sz="0" w:space="0" w:color="auto"/>
                            <w:bottom w:val="none" w:sz="0" w:space="0" w:color="auto"/>
                            <w:right w:val="none" w:sz="0" w:space="0" w:color="auto"/>
                          </w:divBdr>
                        </w:div>
                        <w:div w:id="1089353139">
                          <w:marLeft w:val="720"/>
                          <w:marRight w:val="0"/>
                          <w:marTop w:val="240"/>
                          <w:marBottom w:val="0"/>
                          <w:divBdr>
                            <w:top w:val="none" w:sz="0" w:space="0" w:color="auto"/>
                            <w:left w:val="none" w:sz="0" w:space="0" w:color="auto"/>
                            <w:bottom w:val="none" w:sz="0" w:space="0" w:color="auto"/>
                            <w:right w:val="none" w:sz="0" w:space="0" w:color="auto"/>
                          </w:divBdr>
                        </w:div>
                        <w:div w:id="685596326">
                          <w:marLeft w:val="720"/>
                          <w:marRight w:val="0"/>
                          <w:marTop w:val="240"/>
                          <w:marBottom w:val="0"/>
                          <w:divBdr>
                            <w:top w:val="none" w:sz="0" w:space="0" w:color="auto"/>
                            <w:left w:val="none" w:sz="0" w:space="0" w:color="auto"/>
                            <w:bottom w:val="none" w:sz="0" w:space="0" w:color="auto"/>
                            <w:right w:val="none" w:sz="0" w:space="0" w:color="auto"/>
                          </w:divBdr>
                        </w:div>
                        <w:div w:id="1027830862">
                          <w:marLeft w:val="240"/>
                          <w:marRight w:val="0"/>
                          <w:marTop w:val="240"/>
                          <w:marBottom w:val="0"/>
                          <w:divBdr>
                            <w:top w:val="none" w:sz="0" w:space="0" w:color="auto"/>
                            <w:left w:val="none" w:sz="0" w:space="0" w:color="auto"/>
                            <w:bottom w:val="none" w:sz="0" w:space="0" w:color="auto"/>
                            <w:right w:val="none" w:sz="0" w:space="0" w:color="auto"/>
                          </w:divBdr>
                        </w:div>
                        <w:div w:id="56901563">
                          <w:marLeft w:val="480"/>
                          <w:marRight w:val="0"/>
                          <w:marTop w:val="240"/>
                          <w:marBottom w:val="0"/>
                          <w:divBdr>
                            <w:top w:val="none" w:sz="0" w:space="0" w:color="auto"/>
                            <w:left w:val="none" w:sz="0" w:space="0" w:color="auto"/>
                            <w:bottom w:val="none" w:sz="0" w:space="0" w:color="auto"/>
                            <w:right w:val="none" w:sz="0" w:space="0" w:color="auto"/>
                          </w:divBdr>
                        </w:div>
                        <w:div w:id="2140344287">
                          <w:marLeft w:val="480"/>
                          <w:marRight w:val="0"/>
                          <w:marTop w:val="240"/>
                          <w:marBottom w:val="0"/>
                          <w:divBdr>
                            <w:top w:val="none" w:sz="0" w:space="0" w:color="auto"/>
                            <w:left w:val="none" w:sz="0" w:space="0" w:color="auto"/>
                            <w:bottom w:val="none" w:sz="0" w:space="0" w:color="auto"/>
                            <w:right w:val="none" w:sz="0" w:space="0" w:color="auto"/>
                          </w:divBdr>
                        </w:div>
                        <w:div w:id="1734039558">
                          <w:marLeft w:val="240"/>
                          <w:marRight w:val="0"/>
                          <w:marTop w:val="240"/>
                          <w:marBottom w:val="0"/>
                          <w:divBdr>
                            <w:top w:val="none" w:sz="0" w:space="0" w:color="auto"/>
                            <w:left w:val="none" w:sz="0" w:space="0" w:color="auto"/>
                            <w:bottom w:val="none" w:sz="0" w:space="0" w:color="auto"/>
                            <w:right w:val="none" w:sz="0" w:space="0" w:color="auto"/>
                          </w:divBdr>
                        </w:div>
                        <w:div w:id="1833645863">
                          <w:marLeft w:val="480"/>
                          <w:marRight w:val="0"/>
                          <w:marTop w:val="240"/>
                          <w:marBottom w:val="0"/>
                          <w:divBdr>
                            <w:top w:val="none" w:sz="0" w:space="0" w:color="auto"/>
                            <w:left w:val="none" w:sz="0" w:space="0" w:color="auto"/>
                            <w:bottom w:val="none" w:sz="0" w:space="0" w:color="auto"/>
                            <w:right w:val="none" w:sz="0" w:space="0" w:color="auto"/>
                          </w:divBdr>
                        </w:div>
                        <w:div w:id="1921014951">
                          <w:marLeft w:val="480"/>
                          <w:marRight w:val="0"/>
                          <w:marTop w:val="240"/>
                          <w:marBottom w:val="0"/>
                          <w:divBdr>
                            <w:top w:val="none" w:sz="0" w:space="0" w:color="auto"/>
                            <w:left w:val="none" w:sz="0" w:space="0" w:color="auto"/>
                            <w:bottom w:val="none" w:sz="0" w:space="0" w:color="auto"/>
                            <w:right w:val="none" w:sz="0" w:space="0" w:color="auto"/>
                          </w:divBdr>
                        </w:div>
                        <w:div w:id="598757817">
                          <w:marLeft w:val="240"/>
                          <w:marRight w:val="0"/>
                          <w:marTop w:val="240"/>
                          <w:marBottom w:val="0"/>
                          <w:divBdr>
                            <w:top w:val="none" w:sz="0" w:space="0" w:color="auto"/>
                            <w:left w:val="none" w:sz="0" w:space="0" w:color="auto"/>
                            <w:bottom w:val="none" w:sz="0" w:space="0" w:color="auto"/>
                            <w:right w:val="none" w:sz="0" w:space="0" w:color="auto"/>
                          </w:divBdr>
                        </w:div>
                        <w:div w:id="1215462420">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2013-07-10T14:36:00Z</dcterms:created>
  <dcterms:modified xsi:type="dcterms:W3CDTF">2013-07-10T14:38:00Z</dcterms:modified>
</cp:coreProperties>
</file>